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2013 г. N 28564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Calibri" w:hAnsi="Calibri" w:cs="Calibri"/>
        </w:rPr>
        <w:t xml:space="preserve">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Г.Г.ОНИЩЕНКО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</w:t>
      </w:r>
      <w:r>
        <w:rPr>
          <w:rFonts w:ascii="Calibri" w:hAnsi="Calibri" w:cs="Calibri"/>
        </w:rPr>
        <w:lastRenderedPageBreak/>
        <w:t>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04.04.2014 N АКПИ14-281.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детей с фонетико-фонематическими нарушениями речи в возрасте старше 3 лет - 12 </w:t>
      </w:r>
      <w:r>
        <w:rPr>
          <w:rFonts w:ascii="Calibri" w:hAnsi="Calibri" w:cs="Calibri"/>
        </w:rPr>
        <w:lastRenderedPageBreak/>
        <w:t>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2"/>
      <w:bookmarkEnd w:id="4"/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гигиеническими требованиями</w:t>
        </w:r>
      </w:hyperlink>
      <w:r>
        <w:rPr>
          <w:rFonts w:ascii="Calibri" w:hAnsi="Calibri" w:cs="Calibri"/>
        </w:rPr>
        <w:t xml:space="preserve"> к инсоляции и солнцезащите помещений жилых и общественных зданий и территорий.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</w:t>
      </w:r>
      <w:r>
        <w:rPr>
          <w:rFonts w:ascii="Calibri" w:hAnsi="Calibri" w:cs="Calibri"/>
        </w:rPr>
        <w:lastRenderedPageBreak/>
        <w:t>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t>IV. Требования к зданию, помещениям, оборудованию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использовать </w:t>
      </w:r>
      <w:proofErr w:type="gramStart"/>
      <w:r>
        <w:rPr>
          <w:rFonts w:ascii="Calibri" w:hAnsi="Calibri" w:cs="Calibri"/>
        </w:rPr>
        <w:t>групповую</w:t>
      </w:r>
      <w:proofErr w:type="gramEnd"/>
      <w:r>
        <w:rPr>
          <w:rFonts w:ascii="Calibri" w:hAnsi="Calibri" w:cs="Calibri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</w:t>
      </w:r>
      <w:hyperlink r:id="rId1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Питание детей организуется в помещении </w:t>
      </w:r>
      <w:proofErr w:type="gramStart"/>
      <w:r>
        <w:rPr>
          <w:rFonts w:ascii="Calibri" w:hAnsi="Calibri" w:cs="Calibri"/>
        </w:rPr>
        <w:t>групповой</w:t>
      </w:r>
      <w:proofErr w:type="gramEnd"/>
      <w:r>
        <w:rPr>
          <w:rFonts w:ascii="Calibri" w:hAnsi="Calibri" w:cs="Calibri"/>
        </w:rPr>
        <w:t xml:space="preserve">.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оборудование санитарного узла для персонала в детской туалетной в виде </w:t>
      </w:r>
      <w:r>
        <w:rPr>
          <w:rFonts w:ascii="Calibri" w:hAnsi="Calibri" w:cs="Calibri"/>
        </w:rPr>
        <w:lastRenderedPageBreak/>
        <w:t>отдельной закрытой туалетной кабины.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40"/>
      <w:bookmarkEnd w:id="7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медицинским организациям.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2"/>
      <w:bookmarkEnd w:id="8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68"/>
      <w:bookmarkEnd w:id="9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роста детей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стола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стула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</w:t>
      </w:r>
      <w:r>
        <w:rPr>
          <w:rFonts w:ascii="Calibri" w:hAnsi="Calibri" w:cs="Calibri"/>
        </w:rPr>
        <w:lastRenderedPageBreak/>
        <w:t>подача воды осуществляется через смеситель.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33"/>
      <w:bookmarkEnd w:id="10"/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49"/>
      <w:bookmarkEnd w:id="11"/>
      <w:r>
        <w:rPr>
          <w:rFonts w:ascii="Calibri" w:hAnsi="Calibri" w:cs="Calibri"/>
        </w:rPr>
        <w:t>VIII. Требования к отоплению и вентиляции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</w:t>
      </w:r>
      <w:r>
        <w:rPr>
          <w:rFonts w:ascii="Calibri" w:hAnsi="Calibri" w:cs="Calibri"/>
        </w:rPr>
        <w:lastRenderedPageBreak/>
        <w:t>не должны превышать предельно допустимые концентрации (ПДК) для атмосферного воздуха населенных мест.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70"/>
      <w:bookmarkEnd w:id="12"/>
      <w:r>
        <w:rPr>
          <w:rFonts w:ascii="Calibri" w:hAnsi="Calibri" w:cs="Calibri"/>
        </w:rPr>
        <w:t>IX. Требования к водоснабжению и канализации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Вода должна отвечать санитарно-эпидемиологическим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питьевой воде.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9"/>
      <w:bookmarkEnd w:id="13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психическом развитии, с иными ограниченными возможностями здоровья);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17"/>
      <w:bookmarkEnd w:id="14"/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Рекомендуемая продолжительность ежедневных прогулок составляет 3 - 4 часа. </w:t>
      </w:r>
      <w:r>
        <w:rPr>
          <w:rFonts w:ascii="Calibri" w:hAnsi="Calibri" w:cs="Calibri"/>
        </w:rPr>
        <w:lastRenderedPageBreak/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6-ти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7-ми лет - не более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37"/>
      <w:bookmarkEnd w:id="15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</w:t>
      </w:r>
      <w:r>
        <w:rPr>
          <w:rFonts w:ascii="Calibri" w:hAnsi="Calibri" w:cs="Calibri"/>
        </w:rPr>
        <w:lastRenderedPageBreak/>
        <w:t>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452"/>
      <w:bookmarkEnd w:id="16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 лет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группа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плавательным бассейнам.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97"/>
      <w:bookmarkEnd w:id="17"/>
      <w:r>
        <w:rPr>
          <w:rFonts w:ascii="Calibri" w:hAnsi="Calibri" w:cs="Calibri"/>
        </w:rPr>
        <w:t>XIII. Требования к оборудованию пищеблока,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</w:t>
      </w:r>
      <w:r>
        <w:rPr>
          <w:rFonts w:ascii="Calibri" w:hAnsi="Calibri" w:cs="Calibri"/>
        </w:rP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rPr>
          <w:rFonts w:ascii="Calibri" w:hAnsi="Calibri" w:cs="Calibri"/>
        </w:rP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</w:t>
      </w:r>
      <w:r>
        <w:rPr>
          <w:rFonts w:ascii="Calibri" w:hAnsi="Calibri" w:cs="Calibri"/>
        </w:rPr>
        <w:lastRenderedPageBreak/>
        <w:t>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538"/>
      <w:bookmarkEnd w:id="18"/>
      <w:r>
        <w:rPr>
          <w:rFonts w:ascii="Calibri" w:hAnsi="Calibri" w:cs="Calibri"/>
        </w:rPr>
        <w:t>XIV. Требования к условиям хранения, приготовления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Оладьи, сырники выпекаются в духовом или жарочном шкафу при температуре 180 - 200 °C </w:t>
      </w:r>
      <w:r>
        <w:rPr>
          <w:rFonts w:ascii="Calibri" w:hAnsi="Calibri" w:cs="Calibri"/>
        </w:rPr>
        <w:lastRenderedPageBreak/>
        <w:t>в течение 8 - 10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картофельного (овощного) пюре используется овощепротирочная машина.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</w:t>
      </w:r>
      <w:r>
        <w:rPr>
          <w:rFonts w:ascii="Calibri" w:hAnsi="Calibri" w:cs="Calibri"/>
        </w:rP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>
        <w:rPr>
          <w:rFonts w:ascii="Calibri" w:hAnsi="Calibri" w:cs="Calibri"/>
        </w:rPr>
        <w:lastRenderedPageBreak/>
        <w:t xml:space="preserve">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лицом.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41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634"/>
      <w:bookmarkEnd w:id="19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639"/>
      <w:bookmarkEnd w:id="20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D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8" w:history="1">
              <w:r w:rsidR="00423F63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423F63">
              <w:rPr>
                <w:rFonts w:ascii="Calibri" w:hAnsi="Calibri" w:cs="Calibri"/>
              </w:rPr>
              <w:t xml:space="preserve"> в т.ч. животный</w:t>
            </w:r>
            <w:proofErr w:type="gramStart"/>
            <w:r w:rsidR="00423F63"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D2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9" w:history="1">
              <w:r w:rsidR="00423F63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423F63">
              <w:rPr>
                <w:rFonts w:ascii="Calibri" w:hAnsi="Calibri" w:cs="Calibri"/>
              </w:rPr>
              <w:t xml:space="preserve"> </w:t>
            </w:r>
            <w:proofErr w:type="gramStart"/>
            <w:r w:rsidR="00423F63">
              <w:rPr>
                <w:rFonts w:ascii="Calibri" w:hAnsi="Calibri" w:cs="Calibri"/>
              </w:rPr>
              <w:t>г</w:t>
            </w:r>
            <w:proofErr w:type="gramEnd"/>
            <w:r w:rsidR="00423F63">
              <w:rPr>
                <w:rFonts w:ascii="Calibri" w:hAnsi="Calibri" w:cs="Calibri"/>
              </w:rPr>
              <w:t>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98"/>
      <w:bookmarkEnd w:id="21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9"/>
      <w:bookmarkEnd w:id="22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rPr>
          <w:rFonts w:ascii="Calibri" w:hAnsi="Calibri" w:cs="Calibri"/>
        </w:rPr>
        <w:lastRenderedPageBreak/>
        <w:t>по отдельным приемам пищи с учетом таблицы 4.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709"/>
      <w:bookmarkEnd w:id="23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135"/>
        <w:gridCol w:w="495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12 час.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Полдник (10 - 15%)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/или уплотненный полдник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Ужин (20 - 25%)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733"/>
            <w:bookmarkEnd w:id="24"/>
            <w:r>
              <w:rPr>
                <w:rFonts w:ascii="Calibri" w:hAnsi="Calibri"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78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960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9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751"/>
      <w:bookmarkEnd w:id="25"/>
      <w:r>
        <w:rPr>
          <w:rFonts w:ascii="Calibri" w:hAnsi="Calibri" w:cs="Calibri"/>
        </w:rPr>
        <w:lastRenderedPageBreak/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30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82"/>
      <w:bookmarkEnd w:id="26"/>
      <w:r>
        <w:rPr>
          <w:rFonts w:ascii="Calibri" w:hAnsi="Calibri" w:cs="Calibri"/>
        </w:rPr>
        <w:t xml:space="preserve">&lt;*&gt; При 12-часовом пребывании возможна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как отдельного полдника, так и уплотненного полдника с включением блюд ужина.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789"/>
      <w:bookmarkEnd w:id="27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</w:t>
      </w:r>
      <w:r>
        <w:rPr>
          <w:rFonts w:ascii="Calibri" w:hAnsi="Calibri" w:cs="Calibri"/>
        </w:rPr>
        <w:lastRenderedPageBreak/>
        <w:t>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0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801"/>
      <w:bookmarkEnd w:id="28"/>
      <w:r>
        <w:rPr>
          <w:rFonts w:ascii="Calibri" w:hAnsi="Calibri" w:cs="Calibri"/>
        </w:rPr>
        <w:t>XVII. Требования к санитарному содержанию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Санитарно-техническое оборудование ежедневно обеззараживаются независимо от </w:t>
      </w:r>
      <w:r>
        <w:rPr>
          <w:rFonts w:ascii="Calibri" w:hAnsi="Calibri" w:cs="Calibri"/>
        </w:rPr>
        <w:lastRenderedPageBreak/>
        <w:t>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33"/>
      <w:bookmarkEnd w:id="29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1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по профилактике энтеробиозов.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18.2.4. При регистрации случаев заболеваний среди детей и персонала дошкольных </w:t>
      </w:r>
      <w:r>
        <w:rPr>
          <w:rFonts w:ascii="Calibri" w:hAnsi="Calibri" w:cs="Calibri"/>
        </w:rPr>
        <w:lastRenderedPageBreak/>
        <w:t>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паразитозов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63"/>
      <w:bookmarkEnd w:id="30"/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24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6" w:history="1">
        <w:r>
          <w:rPr>
            <w:rFonts w:ascii="Calibri" w:hAnsi="Calibri" w:cs="Calibri"/>
            <w:color w:val="0000FF"/>
          </w:rPr>
          <w:t>книжку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886"/>
      <w:bookmarkEnd w:id="31"/>
      <w:r>
        <w:rPr>
          <w:rFonts w:ascii="Calibri" w:hAnsi="Calibri" w:cs="Calibri"/>
        </w:rPr>
        <w:t>XX. Требования к соблюдению санитарных правил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904"/>
      <w:bookmarkEnd w:id="32"/>
      <w:r>
        <w:rPr>
          <w:rFonts w:ascii="Calibri" w:hAnsi="Calibri" w:cs="Calibri"/>
        </w:rPr>
        <w:t>Приложение N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907"/>
      <w:bookmarkEnd w:id="33"/>
      <w:r>
        <w:rPr>
          <w:rFonts w:ascii="Calibri" w:hAnsi="Calibri" w:cs="Calibri"/>
        </w:rPr>
        <w:lastRenderedPageBreak/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909"/>
      <w:bookmarkEnd w:id="34"/>
      <w:r>
        <w:rPr>
          <w:rFonts w:ascii="Calibri" w:hAnsi="Calibri" w:cs="Calibri"/>
        </w:rPr>
        <w:t>Рекомендуемые площади помещений групповой ячейки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0"/>
        <w:gridCol w:w="792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Площадные показатели (не менее)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913"/>
            <w:bookmarkEnd w:id="35"/>
            <w:r>
              <w:rPr>
                <w:rFonts w:ascii="Calibri" w:hAnsi="Calibri" w:cs="Calibri"/>
              </w:rPr>
              <w:t>Групповые ячейки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924"/>
            <w:bookmarkEnd w:id="36"/>
            <w:r>
              <w:rPr>
                <w:rFonts w:ascii="Calibri" w:hAnsi="Calibri" w:cs="Calibri"/>
              </w:rPr>
              <w:t>Медицинский блок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7" w:name="Par932"/>
      <w:bookmarkEnd w:id="37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934"/>
      <w:bookmarkEnd w:id="38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9" w:name="Par988"/>
      <w:bookmarkEnd w:id="39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423F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1014"/>
      <w:bookmarkEnd w:id="40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016"/>
      <w:bookmarkEnd w:id="41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специальных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423F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интеллекта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Плеопт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2" w:name="Par1065"/>
      <w:bookmarkEnd w:id="42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от 3-х до 7-ми лет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104"/>
      <w:bookmarkEnd w:id="43"/>
      <w:r>
        <w:rPr>
          <w:rFonts w:ascii="Calibri" w:hAnsi="Calibri" w:cs="Calibri"/>
        </w:rPr>
        <w:t>Приложение N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1107"/>
      <w:bookmarkEnd w:id="44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светильников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светонесущей стены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преимущественного размещения оборудования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Любое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128"/>
      <w:bookmarkEnd w:id="45"/>
      <w:r>
        <w:rPr>
          <w:rFonts w:ascii="Calibri" w:hAnsi="Calibri" w:cs="Calibri"/>
        </w:rPr>
        <w:t>Приложение N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1131"/>
      <w:bookmarkEnd w:id="46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обмена воздуха в 1 час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I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>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других климатических районах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для муз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расчету, но не менее 20 м3 на 1 ребенка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201"/>
      <w:bookmarkEnd w:id="47"/>
      <w:r>
        <w:rPr>
          <w:rFonts w:ascii="Calibri" w:hAnsi="Calibri" w:cs="Calibri"/>
        </w:rPr>
        <w:t>Приложение N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204"/>
      <w:bookmarkEnd w:id="48"/>
      <w:r>
        <w:rPr>
          <w:rFonts w:ascii="Calibri" w:hAnsi="Calibri" w:cs="Calibri"/>
        </w:rPr>
        <w:t>РЕКОМЕНДУЕМЫЙ ПЕРЕЧЕНЬ ОБОРУДОВАНИЯ ПИЩЕБЛОКОВ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5"/>
        <w:gridCol w:w="9405"/>
      </w:tblGrid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Производственные столы (не менее двух), контрольные весы, среднетемпературные </w:t>
            </w:r>
            <w:r>
              <w:rPr>
                <w:rFonts w:ascii="Calibri" w:hAnsi="Calibri" w:cs="Calibri"/>
              </w:rPr>
              <w:lastRenderedPageBreak/>
              <w:t>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229"/>
      <w:bookmarkEnd w:id="49"/>
      <w:r>
        <w:rPr>
          <w:rFonts w:ascii="Calibri" w:hAnsi="Calibri" w:cs="Calibri"/>
        </w:rPr>
        <w:t>Приложение N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1234"/>
      <w:bookmarkEnd w:id="50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61"/>
      <w:bookmarkEnd w:id="51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267"/>
      <w:bookmarkEnd w:id="52"/>
      <w:r>
        <w:rPr>
          <w:rFonts w:ascii="Calibri" w:hAnsi="Calibri" w:cs="Calibri"/>
        </w:rPr>
        <w:t>Приложение N 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270"/>
      <w:bookmarkEnd w:id="53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Месяц/дни: (t в °C)</w:t>
            </w:r>
          </w:p>
        </w:tc>
      </w:tr>
      <w:tr w:rsidR="00423F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311"/>
      <w:bookmarkEnd w:id="54"/>
      <w:r>
        <w:rPr>
          <w:rFonts w:ascii="Calibri" w:hAnsi="Calibri" w:cs="Calibri"/>
        </w:rPr>
        <w:t>Приложение N 7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bookmarkStart w:id="55" w:name="Par1316"/>
      <w:bookmarkEnd w:id="55"/>
      <w:r>
        <w:t xml:space="preserve">                           Технологическая карта</w:t>
      </w:r>
    </w:p>
    <w:p w:rsidR="00423F63" w:rsidRDefault="00423F63">
      <w:pPr>
        <w:pStyle w:val="ConsPlusNonformat"/>
        <w:jc w:val="both"/>
      </w:pPr>
    </w:p>
    <w:p w:rsidR="00423F63" w:rsidRDefault="00423F63">
      <w:pPr>
        <w:pStyle w:val="ConsPlusNonformat"/>
        <w:jc w:val="both"/>
      </w:pPr>
      <w:r>
        <w:t xml:space="preserve">    Технологическая карта N ____________</w:t>
      </w:r>
    </w:p>
    <w:p w:rsidR="00423F63" w:rsidRDefault="00423F63">
      <w:pPr>
        <w:pStyle w:val="ConsPlusNonformat"/>
        <w:jc w:val="both"/>
      </w:pPr>
      <w:r>
        <w:t xml:space="preserve">    Наименование изделия:</w:t>
      </w:r>
    </w:p>
    <w:p w:rsidR="00423F63" w:rsidRDefault="00423F63">
      <w:pPr>
        <w:pStyle w:val="ConsPlusNonformat"/>
        <w:jc w:val="both"/>
      </w:pPr>
      <w:r>
        <w:t xml:space="preserve">    Номер рецептуры:</w:t>
      </w:r>
    </w:p>
    <w:p w:rsidR="00423F63" w:rsidRDefault="00423F63">
      <w:pPr>
        <w:pStyle w:val="ConsPlusNonformat"/>
        <w:jc w:val="both"/>
      </w:pPr>
      <w:r>
        <w:t xml:space="preserve">    Наименование сборника рецептур: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3795"/>
        <w:gridCol w:w="3630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Брутто,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Химический состав данного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423F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Энерг.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Технология приготовления: _______________________________________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357"/>
      <w:bookmarkEnd w:id="56"/>
      <w:r>
        <w:rPr>
          <w:rFonts w:ascii="Calibri" w:hAnsi="Calibri" w:cs="Calibri"/>
        </w:rPr>
        <w:t>Приложение N 8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7" w:name="Par1360"/>
      <w:bookmarkEnd w:id="57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364"/>
      <w:bookmarkEnd w:id="58"/>
      <w:r>
        <w:rPr>
          <w:rFonts w:ascii="Calibri" w:hAnsi="Calibri" w:cs="Calibri"/>
        </w:rPr>
        <w:t>Журнал бракеража готовой кулинарной продукции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3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383"/>
      <w:bookmarkEnd w:id="59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0" w:name="Par1387"/>
      <w:bookmarkEnd w:id="60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391"/>
      <w:bookmarkEnd w:id="61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питающихся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414"/>
      <w:bookmarkEnd w:id="62"/>
      <w:r>
        <w:rPr>
          <w:rFonts w:ascii="Calibri" w:hAnsi="Calibri" w:cs="Calibri"/>
        </w:rPr>
        <w:t>Приложение N 9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417"/>
      <w:bookmarkEnd w:id="63"/>
      <w:r>
        <w:rPr>
          <w:rFonts w:ascii="Calibri" w:hAnsi="Calibri" w:cs="Calibri"/>
        </w:rPr>
        <w:t>ПИЩЕВЫЕ ПРОДУКТЫ,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4" w:name="Par1420"/>
      <w:bookmarkEnd w:id="64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430"/>
      <w:bookmarkEnd w:id="65"/>
      <w:r>
        <w:rPr>
          <w:rFonts w:ascii="Calibri" w:hAnsi="Calibri" w:cs="Calibri"/>
        </w:rPr>
        <w:t>Блюда, изготовленные из мяса, птицы, рыбы: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434"/>
      <w:bookmarkEnd w:id="66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437"/>
      <w:bookmarkEnd w:id="67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442"/>
      <w:bookmarkEnd w:id="68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451"/>
      <w:bookmarkEnd w:id="69"/>
      <w:r>
        <w:rPr>
          <w:rFonts w:ascii="Calibri" w:hAnsi="Calibri" w:cs="Calibri"/>
        </w:rPr>
        <w:t>Яйца: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456"/>
      <w:bookmarkEnd w:id="70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459"/>
      <w:bookmarkEnd w:id="71"/>
      <w:r>
        <w:rPr>
          <w:rFonts w:ascii="Calibri" w:hAnsi="Calibri" w:cs="Calibri"/>
        </w:rPr>
        <w:t>Прочие продукты и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476"/>
      <w:bookmarkEnd w:id="72"/>
      <w:r>
        <w:rPr>
          <w:rFonts w:ascii="Calibri" w:hAnsi="Calibri" w:cs="Calibri"/>
        </w:rPr>
        <w:t>Приложение N 10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479"/>
      <w:bookmarkEnd w:id="73"/>
      <w:r>
        <w:rPr>
          <w:rFonts w:ascii="Calibri" w:hAnsi="Calibri" w:cs="Calibri"/>
        </w:rPr>
        <w:t>РЕКОМЕНДУЕМЫЕ СУТОЧНЫЕ НАБОРЫ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423F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нетто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Молоко и кисломолочные продукты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Творог, творожные изделия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Сметана с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Энергетическая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702"/>
      <w:bookmarkEnd w:id="74"/>
      <w:r>
        <w:rPr>
          <w:rFonts w:ascii="Calibri" w:hAnsi="Calibri" w:cs="Calibri"/>
        </w:rPr>
        <w:t>Приложение N 11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705"/>
      <w:bookmarkEnd w:id="75"/>
      <w:r>
        <w:rPr>
          <w:rFonts w:ascii="Calibri" w:hAnsi="Calibri" w:cs="Calibri"/>
        </w:rPr>
        <w:t>РЕКОМЕНДУЕМЫЙ АССОРТИМЕНТ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6" w:name="Par1709"/>
      <w:bookmarkEnd w:id="76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718"/>
      <w:bookmarkEnd w:id="77"/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720"/>
      <w:bookmarkEnd w:id="78"/>
      <w:r>
        <w:rPr>
          <w:rFonts w:ascii="Calibri" w:hAnsi="Calibri" w:cs="Calibri"/>
        </w:rPr>
        <w:t>Яйца куриные - в виде омлетов или в вареном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722"/>
      <w:bookmarkEnd w:id="79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732"/>
      <w:bookmarkEnd w:id="80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737"/>
      <w:bookmarkEnd w:id="81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744"/>
      <w:bookmarkEnd w:id="82"/>
      <w:r>
        <w:rPr>
          <w:rFonts w:ascii="Calibri" w:hAnsi="Calibri" w:cs="Calibri"/>
        </w:rPr>
        <w:t>Овощи: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748"/>
      <w:bookmarkEnd w:id="83"/>
      <w:r>
        <w:rPr>
          <w:rFonts w:ascii="Calibri" w:hAnsi="Calibri" w:cs="Calibri"/>
        </w:rPr>
        <w:t>Фрукты: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754"/>
      <w:bookmarkEnd w:id="84"/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756"/>
      <w:bookmarkEnd w:id="85"/>
      <w:r>
        <w:rPr>
          <w:rFonts w:ascii="Calibri" w:hAnsi="Calibri" w:cs="Calibri"/>
        </w:rPr>
        <w:t>Орехи: миндаль, фундук, ядро грецкого ореха.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758"/>
      <w:bookmarkEnd w:id="86"/>
      <w:r>
        <w:rPr>
          <w:rFonts w:ascii="Calibri" w:hAnsi="Calibri" w:cs="Calibri"/>
        </w:rPr>
        <w:t>Соки и напитки: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витаминизированные напитки промышленного выпуска без консервантов и искусственных пищевых добавок;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764"/>
      <w:bookmarkEnd w:id="87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774"/>
      <w:bookmarkEnd w:id="88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776"/>
      <w:bookmarkEnd w:id="89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1782"/>
      <w:bookmarkEnd w:id="90"/>
      <w:r>
        <w:rPr>
          <w:rFonts w:ascii="Calibri" w:hAnsi="Calibri" w:cs="Calibri"/>
        </w:rPr>
        <w:t>Приложение N 12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1" w:name="Par1787"/>
      <w:bookmarkEnd w:id="91"/>
      <w:r>
        <w:rPr>
          <w:rFonts w:ascii="Calibri" w:hAnsi="Calibri" w:cs="Calibri"/>
        </w:rPr>
        <w:t>Примерное меню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423F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2" w:name="Par1957"/>
      <w:bookmarkEnd w:id="92"/>
      <w:r>
        <w:rPr>
          <w:rFonts w:ascii="Calibri" w:hAnsi="Calibri" w:cs="Calibri"/>
        </w:rPr>
        <w:t>Приложение N 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3" w:name="Par1960"/>
      <w:bookmarkEnd w:id="93"/>
      <w:r>
        <w:rPr>
          <w:rFonts w:ascii="Calibri" w:hAnsi="Calibri" w:cs="Calibri"/>
        </w:rPr>
        <w:t>СУММАРНЫЕ ОБЪЕМЫ БЛЮД ПО ПРИЕМАМ ПИЩИ (В ГРАММАХ)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450 - 600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4" w:name="Par1982"/>
      <w:bookmarkEnd w:id="94"/>
      <w:r>
        <w:rPr>
          <w:rFonts w:ascii="Calibri" w:hAnsi="Calibri" w:cs="Calibri"/>
        </w:rPr>
        <w:t>Приложение N 14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5" w:name="Par1985"/>
      <w:bookmarkEnd w:id="95"/>
      <w:r>
        <w:rPr>
          <w:rFonts w:ascii="Calibri" w:hAnsi="Calibri" w:cs="Calibri"/>
        </w:rPr>
        <w:t>ТАБЛИЦА ЗАМЕНЫ ПРОДУКТОВ ПО БЕЛКАМ И УГЛЕВОДАМ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423F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1994"/>
            <w:bookmarkEnd w:id="96"/>
            <w:r>
              <w:rPr>
                <w:rFonts w:ascii="Calibri" w:hAnsi="Calibri" w:cs="Calibri"/>
              </w:rPr>
              <w:lastRenderedPageBreak/>
              <w:t>Замена хлеба (по белкам и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2025"/>
            <w:bookmarkEnd w:id="97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074"/>
            <w:bookmarkEnd w:id="98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099"/>
            <w:bookmarkEnd w:id="99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142"/>
            <w:bookmarkEnd w:id="100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179"/>
            <w:bookmarkEnd w:id="101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2216"/>
            <w:bookmarkEnd w:id="102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247"/>
            <w:bookmarkEnd w:id="103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4" w:name="Par2295"/>
      <w:bookmarkEnd w:id="104"/>
      <w:r>
        <w:rPr>
          <w:rFonts w:ascii="Calibri" w:hAnsi="Calibri" w:cs="Calibri"/>
        </w:rPr>
        <w:t>Приложение N 15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5" w:name="Par2298"/>
      <w:bookmarkEnd w:id="105"/>
      <w:r>
        <w:rPr>
          <w:rFonts w:ascii="Calibri" w:hAnsi="Calibri" w:cs="Calibri"/>
        </w:rPr>
        <w:t>СХЕМА ВВЕДЕНИЯ ПРИКОРМА ДЕТЯМ ПЕРВОГО ГОДА ЖИЗНИ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 и блюд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(мес.)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пюре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2379"/>
      <w:bookmarkEnd w:id="106"/>
      <w:r>
        <w:rPr>
          <w:rFonts w:ascii="Calibri" w:hAnsi="Calibri" w:cs="Calibri"/>
        </w:rPr>
        <w:t>&lt;*&gt; Не ранее 6 мес.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7" w:name="Par2385"/>
      <w:bookmarkEnd w:id="107"/>
      <w:r>
        <w:rPr>
          <w:rFonts w:ascii="Calibri" w:hAnsi="Calibri" w:cs="Calibri"/>
        </w:rPr>
        <w:t>Приложение N 16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8" w:name="Par2388"/>
      <w:bookmarkEnd w:id="108"/>
      <w:r>
        <w:rPr>
          <w:rFonts w:ascii="Calibri" w:hAnsi="Calibri" w:cs="Calibri"/>
        </w:rPr>
        <w:t>Журнал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24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245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F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2449"/>
      <w:bookmarkEnd w:id="109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450"/>
      <w:bookmarkEnd w:id="110"/>
      <w:r>
        <w:rPr>
          <w:rFonts w:ascii="Calibri" w:hAnsi="Calibri" w:cs="Calibri"/>
        </w:rPr>
        <w:t>&lt;**&gt; Условные обозначения: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D2147"/>
    <w:rsid w:val="005A5F83"/>
    <w:rsid w:val="005B62E3"/>
    <w:rsid w:val="00607153"/>
    <w:rsid w:val="00633D3D"/>
    <w:rsid w:val="00787A55"/>
    <w:rsid w:val="009E5F9A"/>
    <w:rsid w:val="00B8074A"/>
    <w:rsid w:val="00B95AEA"/>
    <w:rsid w:val="00BB2FEE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0CABC69989DA7047C2FE2BAM" TargetMode="External"/><Relationship Id="rId13" Type="http://schemas.openxmlformats.org/officeDocument/2006/relationships/hyperlink" Target="consultantplus://offline/ref=45900038BCECB7AD81C412A51F726DF4454A3E1AC1BF349295FE087E2825E9E9DF263742FD50B2E4BAM" TargetMode="External"/><Relationship Id="rId18" Type="http://schemas.openxmlformats.org/officeDocument/2006/relationships/hyperlink" Target="consultantplus://offline/ref=45900038BCECB7AD81C412A51F726DF4404E3717C3B169989DA7047C2F2AB6FED86F3BE4B3M" TargetMode="External"/><Relationship Id="rId26" Type="http://schemas.openxmlformats.org/officeDocument/2006/relationships/hyperlink" Target="consultantplus://offline/ref=45900038BCECB7AD81C412A51F726DF4494C3D11C4BF349295FE087E2825E9E9DF263742FD50B2E4B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900038BCECB7AD81C412A51F726DF4404E3613CBB769989DA7047C2F2AB6FED86F3B43FD50B34DEABAM" TargetMode="External"/><Relationship Id="rId7" Type="http://schemas.openxmlformats.org/officeDocument/2006/relationships/hyperlink" Target="consultantplus://offline/ref=45900038BCECB7AD81C412A51F726DF4404B3614C0B269989DA7047C2FE2BAM" TargetMode="External"/><Relationship Id="rId12" Type="http://schemas.openxmlformats.org/officeDocument/2006/relationships/hyperlink" Target="consultantplus://offline/ref=45900038BCECB7AD81C412A51F726DF4424F3E13C5BF349295FE087E2825E9E9DF263742FD50B2E4B9M" TargetMode="External"/><Relationship Id="rId17" Type="http://schemas.openxmlformats.org/officeDocument/2006/relationships/hyperlink" Target="consultantplus://offline/ref=45900038BCECB7AD81C412A51F726DF448423C1ACBBF349295FE087E2825E9E9DF263742FD50B2E4BAM" TargetMode="External"/><Relationship Id="rId25" Type="http://schemas.openxmlformats.org/officeDocument/2006/relationships/hyperlink" Target="consultantplus://offline/ref=45900038BCECB7AD81C412A51F726DF4404A3F12CAB169989DA7047C2FE2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900038BCECB7AD81C412A51F726DF4404B3A12C4B569989DA7047C2F2AB6FED86F3B43FD50B34DEABDM" TargetMode="External"/><Relationship Id="rId20" Type="http://schemas.openxmlformats.org/officeDocument/2006/relationships/hyperlink" Target="consultantplus://offline/ref=45900038BCECB7AD81C412A51F726DF4494C3D11C4BF349295FE087E2825E9E9DF263742FD50B2E4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44E3912C4BF349295FE087E2825E9E9DF263742FD51B0E4BBM" TargetMode="External"/><Relationship Id="rId11" Type="http://schemas.openxmlformats.org/officeDocument/2006/relationships/hyperlink" Target="consultantplus://offline/ref=45900038BCECB7AD81C412A51F726DF4404D3C1BC7B269989DA7047C2F2AB6FED86F3B43FD50B34EEAB1M" TargetMode="External"/><Relationship Id="rId24" Type="http://schemas.openxmlformats.org/officeDocument/2006/relationships/hyperlink" Target="consultantplus://offline/ref=45900038BCECB7AD81C412A51F726DF4404A3F12CAB169989DA7047C2F2AB6FED86F3B43FD50B34DEABDM" TargetMode="External"/><Relationship Id="rId5" Type="http://schemas.openxmlformats.org/officeDocument/2006/relationships/hyperlink" Target="consultantplus://offline/ref=45900038BCECB7AD81C412A51F726DF4404F3D14C2B569989DA7047C2FE2BAM" TargetMode="External"/><Relationship Id="rId15" Type="http://schemas.openxmlformats.org/officeDocument/2006/relationships/hyperlink" Target="consultantplus://offline/ref=45900038BCECB7AD81C412A51F726DF4404A3D1ACAB769989DA7047C2F2AB6FED86F3B43FD50B144EABCM" TargetMode="External"/><Relationship Id="rId23" Type="http://schemas.openxmlformats.org/officeDocument/2006/relationships/hyperlink" Target="consultantplus://offline/ref=45900038BCECB7AD81C412A51F726DF4404C3A1BC6B769989DA7047C2FE2B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900038BCECB7AD81C412A51F726DF4404C3D15C2B769989DA7047C2FE2BAM" TargetMode="External"/><Relationship Id="rId19" Type="http://schemas.openxmlformats.org/officeDocument/2006/relationships/hyperlink" Target="consultantplus://offline/ref=45900038BCECB7AD81C412A51F726DF4454A3E1AC1BF349295FE087E2825E9E9DF263742FD50B2E4BAM" TargetMode="External"/><Relationship Id="rId4" Type="http://schemas.openxmlformats.org/officeDocument/2006/relationships/hyperlink" Target="consultantplus://offline/ref=45900038BCECB7AD81C412A51F726DF4404D3C1BC7B269989DA7047C2F2AB6FED86F3B43FD50B34EEAB1M" TargetMode="External"/><Relationship Id="rId9" Type="http://schemas.openxmlformats.org/officeDocument/2006/relationships/hyperlink" Target="consultantplus://offline/ref=45900038BCECB7AD81C412A51F726DF4404D3C1BC7B269989DA7047C2F2AB6FED86F3B43FD50B34EEAB1M" TargetMode="External"/><Relationship Id="rId14" Type="http://schemas.openxmlformats.org/officeDocument/2006/relationships/hyperlink" Target="consultantplus://offline/ref=45900038BCECB7AD81C412A51F726DF4404B3812C1B669989DA7047C2F2AB6FED86F3B43FD50B34DEABDM" TargetMode="External"/><Relationship Id="rId22" Type="http://schemas.openxmlformats.org/officeDocument/2006/relationships/hyperlink" Target="consultantplus://offline/ref=45900038BCECB7AD81C412A51F726DF4404C3A1BC6B769989DA7047C2F2AB6FED86F3B43FD50B54DEAB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22465</Words>
  <Characters>128053</Characters>
  <Application>Microsoft Office Word</Application>
  <DocSecurity>0</DocSecurity>
  <Lines>1067</Lines>
  <Paragraphs>300</Paragraphs>
  <ScaleCrop>false</ScaleCrop>
  <Company/>
  <LinksUpToDate>false</LinksUpToDate>
  <CharactersWithSpaces>150218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Sennikov_SV</cp:lastModifiedBy>
  <cp:revision>2</cp:revision>
  <dcterms:created xsi:type="dcterms:W3CDTF">2015-04-22T12:01:00Z</dcterms:created>
  <dcterms:modified xsi:type="dcterms:W3CDTF">2015-05-08T13:01:00Z</dcterms:modified>
</cp:coreProperties>
</file>